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9CDA" w14:textId="77777777" w:rsidR="00772EF0" w:rsidRPr="00772EF0" w:rsidRDefault="00772EF0" w:rsidP="00772EF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b/>
          <w:bCs/>
          <w:color w:val="212529"/>
          <w:lang w:eastAsia="ru-RU"/>
        </w:rPr>
        <w:t>ПРАВИТЕЛЬСТВО РОССИЙСКОЙ ФЕДЕРАЦИИ</w:t>
      </w:r>
    </w:p>
    <w:p w14:paraId="31C9360E" w14:textId="77777777" w:rsidR="00772EF0" w:rsidRPr="00772EF0" w:rsidRDefault="00772EF0" w:rsidP="00772EF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b/>
          <w:bCs/>
          <w:color w:val="212529"/>
          <w:lang w:eastAsia="ru-RU"/>
        </w:rPr>
        <w:t>ПОСТАНОВЛЕНИЕ</w:t>
      </w:r>
    </w:p>
    <w:p w14:paraId="0F2B8F48" w14:textId="77777777" w:rsidR="00772EF0" w:rsidRPr="00772EF0" w:rsidRDefault="00772EF0" w:rsidP="00772EF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b/>
          <w:bCs/>
          <w:color w:val="212529"/>
          <w:lang w:eastAsia="ru-RU"/>
        </w:rPr>
        <w:t>от 16 сентября 2020 г. N 1477</w:t>
      </w:r>
    </w:p>
    <w:p w14:paraId="1524689E" w14:textId="77777777" w:rsidR="00772EF0" w:rsidRPr="00772EF0" w:rsidRDefault="00772EF0" w:rsidP="00772EF0">
      <w:pPr>
        <w:spacing w:after="100" w:afterAutospacing="1"/>
        <w:jc w:val="center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b/>
          <w:bCs/>
          <w:color w:val="212529"/>
          <w:lang w:eastAsia="ru-RU"/>
        </w:rPr>
        <w:t>О ЛИЦЕНЗИРОВАНИИ ДЕЯТЕЛЬНОСТИ ПО ПРОВЕДЕНИЮ ЭКСПЕРТИЗЫ ПРОМЫШЛЕННОЙ БЕЗОПАСНОСТИ</w:t>
      </w:r>
    </w:p>
    <w:p w14:paraId="30CE365D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14:paraId="720853C4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1. Утвердить прилагаемое Положение о лицензировании деятельности по проведению экспертизы промышленной безопасности.</w:t>
      </w:r>
    </w:p>
    <w:p w14:paraId="44827911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2. Реализация полномочий, предусмотренных настоящим постановлением, осуществляется Федеральной службой по экологическому, технологическому и атомному надзору в пределах установленной Правительством Российской Федерации предельной численности работников ее центрального аппарата и территориальных органов, а также бюджетных ассигнований, предусмотренных Службе в федеральном бюджете на руководство и управление в сфере установленных функций.</w:t>
      </w:r>
    </w:p>
    <w:p w14:paraId="5C6B6C8C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3. Настоящее постановление вступает в силу с 1 января 2021 г. и действует до 1 января 2027 г.</w:t>
      </w:r>
    </w:p>
    <w:p w14:paraId="20301BDD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Председатель Правительства</w:t>
      </w:r>
    </w:p>
    <w:p w14:paraId="70A9C16D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3B6E7220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М. МИШУСТИН</w:t>
      </w:r>
    </w:p>
    <w:p w14:paraId="171D1576" w14:textId="77777777" w:rsidR="00772EF0" w:rsidRPr="00772EF0" w:rsidRDefault="00772EF0" w:rsidP="00772EF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Утверждено</w:t>
      </w:r>
    </w:p>
    <w:p w14:paraId="51CD0F8E" w14:textId="77777777" w:rsidR="00772EF0" w:rsidRPr="00772EF0" w:rsidRDefault="00772EF0" w:rsidP="00772EF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постановлением Правительства</w:t>
      </w:r>
    </w:p>
    <w:p w14:paraId="42DAA390" w14:textId="77777777" w:rsidR="00772EF0" w:rsidRPr="00772EF0" w:rsidRDefault="00772EF0" w:rsidP="00772EF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Российской Федерации</w:t>
      </w:r>
    </w:p>
    <w:p w14:paraId="58C19125" w14:textId="77777777" w:rsidR="00772EF0" w:rsidRPr="00772EF0" w:rsidRDefault="00772EF0" w:rsidP="00772EF0">
      <w:pPr>
        <w:spacing w:after="100" w:afterAutospacing="1"/>
        <w:jc w:val="right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от 16 сентября 2020 г. N 1477</w:t>
      </w:r>
    </w:p>
    <w:p w14:paraId="14EA1D5F" w14:textId="77777777" w:rsidR="00772EF0" w:rsidRPr="00772EF0" w:rsidRDefault="00772EF0" w:rsidP="00772EF0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</w:pPr>
      <w:r w:rsidRPr="00772EF0">
        <w:rPr>
          <w:rFonts w:ascii="Arial" w:eastAsia="Times New Roman" w:hAnsi="Arial" w:cs="Arial"/>
          <w:b/>
          <w:bCs/>
          <w:color w:val="212529"/>
          <w:kern w:val="36"/>
          <w:sz w:val="33"/>
          <w:szCs w:val="33"/>
          <w:lang w:eastAsia="ru-RU"/>
        </w:rPr>
        <w:t>ПОЛОЖЕНИЕ О ЛИЦЕНЗИРОВАНИИ ДЕЯТЕЛЬНОСТИ ПО ПРОВЕДЕНИЮ ЭКСПЕРТИЗЫ ПРОМЫШЛЕННОЙ БЕЗОПАСНОСТИ</w:t>
      </w:r>
    </w:p>
    <w:p w14:paraId="747592AF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1. Настоящее Положение устанавливает порядок лицензирования деятельности по проведению экспертизы промышленной безопасности (далее - экспертиза) и осуществления федерального лицензионного контроля за деятельностью по проведению экспертизы промышленной безопасности (далее - лицензионный контроль).</w:t>
      </w:r>
    </w:p>
    <w:p w14:paraId="5D894739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lastRenderedPageBreak/>
        <w:t>2. Лицензирование деятельности по проведению экспертизы промышленной безопасности осуществляется Федеральной службой по экологическому, технологическому и атомному надзору (далее - лицензирующий орган).</w:t>
      </w:r>
    </w:p>
    <w:p w14:paraId="767E3516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3. Лицензируемая деятельность предусматривает выполнение в соответствии с пунктом 1 статьи 13 Федерального закона "О промышленной безопасности опасных производственных объектов" следующих работ (оказание услуг):</w:t>
      </w:r>
    </w:p>
    <w:p w14:paraId="62C795F6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а) проведение экспертизы промышленной безопасности документации на консервацию, ликвидацию опасного производственного объекта;</w:t>
      </w:r>
    </w:p>
    <w:p w14:paraId="1DD0D9B5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б)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14:paraId="703CB856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в)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</w:t>
      </w:r>
    </w:p>
    <w:p w14:paraId="6478B54C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г) 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14:paraId="05D020C5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д) 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14:paraId="1C85D838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е) 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p w14:paraId="55C4AE17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4. Лицензионными требованиями к соискателю лицензии на осуществление лицензируемой деятельности являются:</w:t>
      </w:r>
    </w:p>
    <w:p w14:paraId="755788B6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 xml:space="preserve">а) наличие в штате соискателя лицензии как минимум 3 </w:t>
      </w:r>
      <w:proofErr w:type="gramStart"/>
      <w:r w:rsidRPr="00772EF0">
        <w:rPr>
          <w:rFonts w:ascii="Arial" w:eastAsia="Times New Roman" w:hAnsi="Arial" w:cs="Arial"/>
          <w:color w:val="212529"/>
          <w:lang w:eastAsia="ru-RU"/>
        </w:rPr>
        <w:t>экспертов</w:t>
      </w:r>
      <w:proofErr w:type="gramEnd"/>
      <w:r w:rsidRPr="00772EF0">
        <w:rPr>
          <w:rFonts w:ascii="Arial" w:eastAsia="Times New Roman" w:hAnsi="Arial" w:cs="Arial"/>
          <w:color w:val="212529"/>
          <w:lang w:eastAsia="ru-RU"/>
        </w:rPr>
        <w:t xml:space="preserve"> в области промышленной безопасности, которые соответствуют требованиям, установленным Федеральным законом "О промышленной безопасности опасных производственных объектов", для которых работа в этой организации является основной;</w:t>
      </w:r>
    </w:p>
    <w:p w14:paraId="3A249E96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 xml:space="preserve">б) наличие зданий или нежилых помещений, принадлежащих соискателю лицензии на праве собственности или на ином законном основании, используемых при осуществлении лицензируемой деятельности, а также оборудования, приборов, </w:t>
      </w:r>
      <w:r w:rsidRPr="00772EF0">
        <w:rPr>
          <w:rFonts w:ascii="Arial" w:eastAsia="Times New Roman" w:hAnsi="Arial" w:cs="Arial"/>
          <w:color w:val="212529"/>
          <w:lang w:eastAsia="ru-RU"/>
        </w:rPr>
        <w:lastRenderedPageBreak/>
        <w:t>материалов и средств информационного обеспечения в соответствии с пунктом 8 статьи 13 Федерального закона "О промышленной безопасности опасных производственных объектов".</w:t>
      </w:r>
    </w:p>
    <w:p w14:paraId="29E4ACB2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5. Лицензионными требованиями к лицензиату при осуществлении лицензируемой деятельности являются:</w:t>
      </w:r>
    </w:p>
    <w:p w14:paraId="44C1F817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 xml:space="preserve">а) наличие в штате лицензиата как минимум 3 </w:t>
      </w:r>
      <w:proofErr w:type="gramStart"/>
      <w:r w:rsidRPr="00772EF0">
        <w:rPr>
          <w:rFonts w:ascii="Arial" w:eastAsia="Times New Roman" w:hAnsi="Arial" w:cs="Arial"/>
          <w:color w:val="212529"/>
          <w:lang w:eastAsia="ru-RU"/>
        </w:rPr>
        <w:t>экспертов</w:t>
      </w:r>
      <w:proofErr w:type="gramEnd"/>
      <w:r w:rsidRPr="00772EF0">
        <w:rPr>
          <w:rFonts w:ascii="Arial" w:eastAsia="Times New Roman" w:hAnsi="Arial" w:cs="Arial"/>
          <w:color w:val="212529"/>
          <w:lang w:eastAsia="ru-RU"/>
        </w:rPr>
        <w:t xml:space="preserve"> в области промышленной безопасности, которые соответствуют требованиям, установленным Федеральным законом "О промышленной безопасности опасных производственных объектов", и для которых работа в этой организации является основной;</w:t>
      </w:r>
    </w:p>
    <w:p w14:paraId="60575283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б) проведение экспертизы в соответствии с работами (услугами), указанными в лицензии, экспертами в области промышленной безопасности, соответствующими требованиям, установленным Федеральным законом "О промышленной безопасности опасных производственных объектов";</w:t>
      </w:r>
    </w:p>
    <w:p w14:paraId="1105425C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в) проведение экспертизы и оформление результатов экспертизы в соответствии с требованиями, установленными нормативными правовыми актами Российской Федерации в области промышленной безопасности;</w:t>
      </w:r>
    </w:p>
    <w:p w14:paraId="11CF83F0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г) наличие зданий или нежилых помещений, принадлежащих лицензиату на праве собственности или на ином законном основании, используемых при осуществлении лицензируемой деятельности, а также оборудования, приборов, материалов и средств информационного обеспечения в соответствии с пунктом 8 статьи 13 Федерального закона "О промышленной безопасности опасных производственных объектов".</w:t>
      </w:r>
    </w:p>
    <w:p w14:paraId="610550B9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6. Для получения лицензии соискатель лицензии направляет или представляет в лицензирующий орган заявление, оформленное в соответствии с частью 1 статьи 13 Федерального закона "О лицензировании отдельных видов деятельности", а также следующие документы и сведения:</w:t>
      </w:r>
    </w:p>
    <w:p w14:paraId="23F6AE70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а) копии приказов о приеме на работу экспертов в области промышленной безопасности, заверенные руководителем (заместителем руководителя) соискателя лицензии или его обособленного структурного подразделения;</w:t>
      </w:r>
    </w:p>
    <w:p w14:paraId="498EC160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б) реквизиты квалификационных удостоверений экспертов в области промышленной безопасности;</w:t>
      </w:r>
    </w:p>
    <w:p w14:paraId="049D4CAE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в)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по месту осуществления лицензируемой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 сведения об этих зданиях или помещениях);</w:t>
      </w:r>
    </w:p>
    <w:p w14:paraId="219369A8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 xml:space="preserve">г) перечень оборудования, приборов, материалов и средств информационного обеспечения, необходимых для осуществления лицензируемой деятельности и </w:t>
      </w:r>
      <w:r w:rsidRPr="00772EF0">
        <w:rPr>
          <w:rFonts w:ascii="Arial" w:eastAsia="Times New Roman" w:hAnsi="Arial" w:cs="Arial"/>
          <w:color w:val="212529"/>
          <w:lang w:eastAsia="ru-RU"/>
        </w:rPr>
        <w:lastRenderedPageBreak/>
        <w:t>принадлежащих соискателю лицензии на праве собственности или на ином законном основании;</w:t>
      </w:r>
    </w:p>
    <w:p w14:paraId="2F491F95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д) опись прилагаемых документов.</w:t>
      </w:r>
    </w:p>
    <w:p w14:paraId="234D70E5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7. При намерении лицензиата изменить адрес места осуществления лицензируемого вида деятельности в заявлении о переоформлении лицензии указывается новый адрес осуществления лицензируемой деятельности, а также представляются следующие документы и сведения:</w:t>
      </w:r>
    </w:p>
    <w:p w14:paraId="6CF0CBE4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а) копии приказов о приеме на работу экспертов в области промышленной безопасности (с отметкой об ознакомлении с приказом), заверенные руководителем (заместителем руководителя) соискателя лицензии или его обособленного структурного подразделения;</w:t>
      </w:r>
    </w:p>
    <w:p w14:paraId="6CCAEDB3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б) реквизиты квалификационных удостоверений экспертов в области промышленной безопасности;</w:t>
      </w:r>
    </w:p>
    <w:p w14:paraId="400DE03E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в) копии документов, подтверждающих наличие у лицензиата необходимых для осуществления лицензируемой деятельности и принадлежащих ему на праве собственности или на ином законном основании по новому адресу осуществления лицензируемой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 сведения об этих зданиях или помещениях);</w:t>
      </w:r>
    </w:p>
    <w:p w14:paraId="6F6079DF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г) перечень оборудования, приборов, материалов и средств информационного обеспечения, необходимых для осуществления лицензируемой деятельности и принадлежащих лицензиату на праве собственности или на ином законном основании;</w:t>
      </w:r>
    </w:p>
    <w:p w14:paraId="63304790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д) опись прилагаемых документов.</w:t>
      </w:r>
    </w:p>
    <w:p w14:paraId="4E363A5A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8. Выполнение в рамках лицензируемой деятельности работ (оказание услуг), указанных в пункте 3 настоящего Положения, по адресу расположения опасного производственного объекта заказчика, а также с использованием средств дистанционного взаимодействия экспертов в области промышленной безопасности и работников организаций, эксплуатирующих опасные производственные объекты, не требует переоформления лицензии.</w:t>
      </w:r>
    </w:p>
    <w:p w14:paraId="11695CC6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9. При намерении лицензиата выполнять работы (оказывать услуги), составляющие лицензируемую деятельность, не указанные в лицензии, в заявлении о переоформлении лицензии указываются наименования новых работ (услуг), а также представляются следующие документы и сведения:</w:t>
      </w:r>
    </w:p>
    <w:p w14:paraId="1218D5C0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а) копии приказов о приеме на работу экспертов в области промышленной безопасности (с отметкой об ознакомлении с приказом), заверенные руководителем (заместителем руководителя) соискателя лицензии или его обособленного структурного подразделения;</w:t>
      </w:r>
    </w:p>
    <w:p w14:paraId="5DCCD49B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б) реквизиты квалификационных удостоверений экспертов в области промышленной безопасности;</w:t>
      </w:r>
    </w:p>
    <w:p w14:paraId="16051E72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lastRenderedPageBreak/>
        <w:t>в) копии документов, подтверждающих наличие у лицензиата необходимых для выполнения новых работ (оказания новых услуг) и принадлежащих на праве собственности или на ином законном основании по месту осуществления лицензируемой деятельности зданий или нежилых помещений,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зданиях или помещениях);</w:t>
      </w:r>
    </w:p>
    <w:p w14:paraId="5D6DB09D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г) перечень оборудования, приборов, материалов и средств информационного обеспечения, необходимых для выполнения новых работ (оказания новых услуг) и принадлежащих лицензиату на праве собственности или на ином законном основании;</w:t>
      </w:r>
    </w:p>
    <w:p w14:paraId="541D4F86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д) опись прилагаемых документов.</w:t>
      </w:r>
    </w:p>
    <w:p w14:paraId="0380B561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10. Грубым нарушением лицензионных требований является невыполнение лицензиатом требований, предусмотренных подпунктами "а" - "в" пункта 5 настоящего Положения, повлекшее за собой последствия, предусмотренные частью 11 статьи 19 Федерального закона "О лицензировании отдельных видов деятельности".</w:t>
      </w:r>
    </w:p>
    <w:p w14:paraId="7BBAFAB7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11. Представление соискателем лицензии заявления о предоставлении лицензии и документов, необходимых для получения лицензии, их прием лицензирующим органом, принятие решений о предоставлении лицензии (об отказе в предоставлении лицензии), переоформлении лицензии (об отказе в переоформлении лицензии), приостановлении, возобновлении, прекращении действия лицензии и ее аннулировании,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 лицензий и (или) лицензиатов, в том числе в электронном виде, осуществляются в порядке, установленном Федеральным законом "О лицензировании отдельных видов деятельности".</w:t>
      </w:r>
    </w:p>
    <w:p w14:paraId="4F312C53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12. Федеральный лицензионный контроль осуществляется в порядке, установленном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 организации и проведения проверок, установленных Федеральным законом "О лицензировании отдельных видов деятельности".</w:t>
      </w:r>
    </w:p>
    <w:p w14:paraId="2C7E5115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13. Лицензионный контроль осуществляется лицензирующим органом.</w:t>
      </w:r>
    </w:p>
    <w:p w14:paraId="04F95FCF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14. Предметом лицензионного контроля является соблюдение юридическим лицом лицензионных требований.</w:t>
      </w:r>
    </w:p>
    <w:p w14:paraId="6DDD3F1F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15. Лицензионный контроль осуществляется посредством организации и проведения мероприятий по профилактике нарушений лицензионных требований, наблюдения за соблюдением лицензионных требований при осуществлении деятельности в области промышленной безопасности юридическими лицами, проверок юридических лиц,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нарушений.</w:t>
      </w:r>
    </w:p>
    <w:p w14:paraId="5BCB6792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lastRenderedPageBreak/>
        <w:t>16. При проведении мероприятий по профилактике нарушений лицензионных требований специальные профилактические мероприятия, направленные на предупреждение причинения вреда, возникновения чрезвычайных ситуаций природного и техногенного характера, не проводятся.</w:t>
      </w:r>
    </w:p>
    <w:p w14:paraId="255127AE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17. Должностными лицами лицензирующего органа, осуществляющими лицензионный контроль, являются:</w:t>
      </w:r>
    </w:p>
    <w:p w14:paraId="356BF74F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а) руководитель лицензирующего органа, его заместители;</w:t>
      </w:r>
    </w:p>
    <w:p w14:paraId="09FB54EA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б) руководители структурных подразделений центрального аппарата лицензирующего органа, их заместители, в ведении которых находятся вопросы лицензионного контроля;</w:t>
      </w:r>
    </w:p>
    <w:p w14:paraId="09F545DD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в) федеральные государственные гражданские служащие категории "специалисты" ведущей и старшей групп должностей в структурных подразделениях центрального аппарата лицензирующего органа, в ведении которых находятся вопросы лицензионного контроля;</w:t>
      </w:r>
    </w:p>
    <w:p w14:paraId="2185F33F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г) руководители территориальных органов лицензирующего органа, их заместители;</w:t>
      </w:r>
    </w:p>
    <w:p w14:paraId="2AD18810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д) начальники отделов и заместители начальников отделов территориальных органов лицензирующего органа, в ведении которых находятся вопросы лицензионного контроля;</w:t>
      </w:r>
    </w:p>
    <w:p w14:paraId="435D8EED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е) федеральные государственные гражданские служащие категории "специалисты" ведущей и старшей групп должностей в территориальных органах лицензирующего органа, в ведении которых находятся вопросы лицензионного контроля.</w:t>
      </w:r>
    </w:p>
    <w:p w14:paraId="7740EE04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18. При проведении проверки сведений, содержащихся в представленных соискателем лицензии (лицензиатом) заявлении и прилагаемых к нему документах (сведениях о документах), а также соблюдения лицензиатом лицензионных требований лицензирующий орган запрашивает необходимые для предоставления государственных услуг в области лицензирования сведения у 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организаций, подведомственных государственным органам или органам местного самоуправления, в порядке, установленном Федеральным законом "Об организации предоставления государственных и муниципальных услуг".</w:t>
      </w:r>
    </w:p>
    <w:p w14:paraId="10F7FA14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19. За предоставление или переоформление лицензии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14:paraId="14419707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20. Информация, содержащая сведения, предусмотренные частью 1 статьи 21 Федерального закона "О лицензировании отдельных видов деятельности", размещается в официальных электронных или печатных средствах массовой информации лицензирующего органа в течение 10 рабочих дней со дня:</w:t>
      </w:r>
    </w:p>
    <w:p w14:paraId="334B9F24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lastRenderedPageBreak/>
        <w:t>а) официального опубликования нормативных правовых актов, устанавливающих обязательные требования к лицензируемой деятельности;</w:t>
      </w:r>
    </w:p>
    <w:p w14:paraId="7724F95F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б) принятия лицензирующим органом решения о предоставлении и переоформлении лицензии, приостановлении и возобновлении ее действия;</w:t>
      </w:r>
    </w:p>
    <w:p w14:paraId="607FB4C9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в) получения от Федеральной налоговой службы сведений о ликвидации юридического лица или прекращении его деятельности в результате реорганизации;</w:t>
      </w:r>
    </w:p>
    <w:p w14:paraId="1E4765DA" w14:textId="77777777" w:rsidR="00772EF0" w:rsidRPr="00772EF0" w:rsidRDefault="00772EF0" w:rsidP="00772EF0">
      <w:pPr>
        <w:spacing w:after="100" w:afterAutospacing="1"/>
        <w:jc w:val="both"/>
        <w:rPr>
          <w:rFonts w:ascii="Arial" w:eastAsia="Times New Roman" w:hAnsi="Arial" w:cs="Arial"/>
          <w:color w:val="212529"/>
          <w:lang w:eastAsia="ru-RU"/>
        </w:rPr>
      </w:pPr>
      <w:r w:rsidRPr="00772EF0">
        <w:rPr>
          <w:rFonts w:ascii="Arial" w:eastAsia="Times New Roman" w:hAnsi="Arial" w:cs="Arial"/>
          <w:color w:val="212529"/>
          <w:lang w:eastAsia="ru-RU"/>
        </w:rPr>
        <w:t>г) вступления в законную силу решения суда об аннулировании лицензии.</w:t>
      </w:r>
    </w:p>
    <w:p w14:paraId="341B2613" w14:textId="77777777" w:rsidR="00772EF0" w:rsidRPr="00772EF0" w:rsidRDefault="00772EF0" w:rsidP="00772EF0">
      <w:pPr>
        <w:spacing w:line="384" w:lineRule="atLeast"/>
        <w:rPr>
          <w:rFonts w:ascii="Open Sans" w:eastAsia="Times New Roman" w:hAnsi="Open Sans" w:cs="Open Sans"/>
          <w:color w:val="212529"/>
          <w:sz w:val="18"/>
          <w:szCs w:val="18"/>
          <w:lang w:eastAsia="ru-RU"/>
        </w:rPr>
      </w:pPr>
    </w:p>
    <w:p w14:paraId="7952E96D" w14:textId="77777777" w:rsidR="00842A53" w:rsidRDefault="00842A53"/>
    <w:sectPr w:rsidR="00842A53" w:rsidSect="00213B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F0"/>
    <w:rsid w:val="00213BD2"/>
    <w:rsid w:val="00772EF0"/>
    <w:rsid w:val="0084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F1BFB"/>
  <w15:chartTrackingRefBased/>
  <w15:docId w15:val="{0CA668B5-F0AE-E042-B209-078A1FC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EF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2E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2246</Words>
  <Characters>12805</Characters>
  <Application>Microsoft Office Word</Application>
  <DocSecurity>0</DocSecurity>
  <Lines>106</Lines>
  <Paragraphs>30</Paragraphs>
  <ScaleCrop>false</ScaleCrop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Артюшкин</dc:creator>
  <cp:keywords/>
  <dc:description/>
  <cp:lastModifiedBy>Андрей Артюшкин</cp:lastModifiedBy>
  <cp:revision>1</cp:revision>
  <dcterms:created xsi:type="dcterms:W3CDTF">2022-07-12T03:18:00Z</dcterms:created>
  <dcterms:modified xsi:type="dcterms:W3CDTF">2022-07-12T03:19:00Z</dcterms:modified>
</cp:coreProperties>
</file>